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E9EF2" w14:textId="77777777" w:rsidR="00855C2E" w:rsidRPr="004F5C87" w:rsidRDefault="00755160">
      <w:pPr>
        <w:spacing w:after="3" w:line="259" w:lineRule="auto"/>
        <w:ind w:right="7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И НАУКИ ГОРОДА МОСКВЫ</w:t>
      </w:r>
      <w:r w:rsidRPr="004F5C87">
        <w:rPr>
          <w:lang w:val="ru-RU"/>
        </w:rPr>
        <w:br/>
      </w:r>
    </w:p>
    <w:p w14:paraId="1B549344" w14:textId="3E09D513" w:rsidR="00855C2E" w:rsidRPr="004F5C87" w:rsidRDefault="004F5C87">
      <w:pPr>
        <w:spacing w:after="3" w:line="259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БЮДЖЕТНОЕ </w:t>
      </w:r>
      <w:r w:rsidR="00755160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</w:p>
    <w:p w14:paraId="16A25A04" w14:textId="1EEADF10" w:rsidR="00855C2E" w:rsidRPr="004F5C87" w:rsidRDefault="00755160">
      <w:pPr>
        <w:spacing w:after="3" w:line="259" w:lineRule="auto"/>
        <w:ind w:right="3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ГОРОДА МОСКВЫ </w:t>
      </w:r>
      <w:r w:rsidRPr="004F5C87">
        <w:rPr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«ШКОЛА № 167 ИМЕНИ МАРШАЛА Л.А. ГОВОРОВА»</w:t>
      </w:r>
      <w:r w:rsidRPr="004F5C87">
        <w:rPr>
          <w:lang w:val="ru-RU"/>
        </w:rPr>
        <w:br/>
      </w:r>
      <w:r w:rsidR="004F5C87">
        <w:rPr>
          <w:rFonts w:ascii="Times New Roman" w:hAnsi="Times New Roman" w:cs="Times New Roman"/>
          <w:sz w:val="28"/>
          <w:szCs w:val="28"/>
          <w:lang w:val="ru-RU"/>
        </w:rPr>
        <w:t>(ГБОУ «Школа № 167 имени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Маршала Л.А. Говорова»)</w:t>
      </w:r>
    </w:p>
    <w:p w14:paraId="6D641BC6" w14:textId="77777777" w:rsidR="00855C2E" w:rsidRDefault="00855C2E">
      <w:pPr>
        <w:tabs>
          <w:tab w:val="left" w:pos="0"/>
          <w:tab w:val="left" w:pos="7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8A7058" w14:textId="77777777" w:rsidR="00855C2E" w:rsidRDefault="00855C2E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3E04ABB9" w14:textId="77777777" w:rsidR="00855C2E" w:rsidRDefault="00855C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43CA42F" w14:textId="77777777" w:rsidR="00855C2E" w:rsidRDefault="00855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35737FF5" w14:textId="77777777" w:rsidR="00855C2E" w:rsidRDefault="00855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00AE86" w14:textId="77777777" w:rsidR="00855C2E" w:rsidRDefault="00855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342052" w14:textId="77777777" w:rsidR="00855C2E" w:rsidRPr="004F5C87" w:rsidRDefault="0075516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Проект </w:t>
      </w:r>
    </w:p>
    <w:p w14:paraId="0EC2594A" w14:textId="16448BCB" w:rsidR="00A35E38" w:rsidRDefault="0077330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предпрофессионального </w:t>
      </w:r>
      <w:r w:rsidR="00755160">
        <w:rPr>
          <w:rFonts w:ascii="Times New Roman" w:hAnsi="Times New Roman" w:cs="Times New Roman"/>
          <w:b/>
          <w:bCs/>
          <w:sz w:val="32"/>
          <w:szCs w:val="32"/>
          <w:lang w:val="ru-RU"/>
        </w:rPr>
        <w:t>элективн</w:t>
      </w:r>
      <w:r w:rsidR="00A35E38">
        <w:rPr>
          <w:rFonts w:ascii="Times New Roman" w:hAnsi="Times New Roman" w:cs="Times New Roman"/>
          <w:b/>
          <w:bCs/>
          <w:sz w:val="32"/>
          <w:szCs w:val="32"/>
          <w:lang w:val="ru-RU"/>
        </w:rPr>
        <w:t>ого</w:t>
      </w:r>
      <w:r w:rsidR="0075516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курс</w:t>
      </w:r>
      <w:r w:rsidR="00A35E38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75516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6EC8DB3A" w14:textId="5A3D0BAD" w:rsidR="00855C2E" w:rsidRPr="004F5C87" w:rsidRDefault="0075516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«Альтернативное решение задач по стереометрии с использован</w:t>
      </w:r>
      <w:r w:rsidR="00735C53">
        <w:rPr>
          <w:rFonts w:ascii="Times New Roman" w:hAnsi="Times New Roman" w:cs="Times New Roman"/>
          <w:b/>
          <w:bCs/>
          <w:sz w:val="32"/>
          <w:szCs w:val="32"/>
          <w:lang w:val="ru-RU"/>
        </w:rPr>
        <w:t>ием виртуальных лабораторий МЭШ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14:paraId="54A74EEB" w14:textId="50E834CA" w:rsidR="00855C2E" w:rsidRPr="004F5C87" w:rsidRDefault="00755160">
      <w:pPr>
        <w:spacing w:after="0"/>
        <w:jc w:val="center"/>
        <w:rPr>
          <w:lang w:val="ru-RU"/>
        </w:rPr>
      </w:pPr>
      <w:r w:rsidRPr="004F5C87">
        <w:rPr>
          <w:lang w:val="ru-RU"/>
        </w:rPr>
        <w:br/>
      </w:r>
    </w:p>
    <w:p w14:paraId="318B657D" w14:textId="77777777" w:rsidR="00855C2E" w:rsidRDefault="00855C2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BC13743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4E71F0C9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042F3AFF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22F6F24D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76BA2725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5E7CB8F7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71D0C5C0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713F57C6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26173F0B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64DA4310" w14:textId="77777777" w:rsidR="00855C2E" w:rsidRDefault="00855C2E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244BB440" w14:textId="77777777" w:rsidR="00855C2E" w:rsidRPr="000738F7" w:rsidRDefault="00755160">
      <w:pPr>
        <w:spacing w:after="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проекта: </w:t>
      </w:r>
      <w:r w:rsidRPr="004F5C87">
        <w:rPr>
          <w:lang w:val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Шахмарданова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Санидиновна</w:t>
      </w:r>
      <w:proofErr w:type="spellEnd"/>
      <w:r w:rsidRPr="004F5C87">
        <w:rPr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  <w:r w:rsidRPr="004F5C87">
        <w:rPr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ГБОУ «Школа № 167 им. Маршала Л.А. Говорова»</w:t>
      </w:r>
    </w:p>
    <w:p w14:paraId="074EC343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3A583CE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FBE64F5" w14:textId="77777777" w:rsidR="00855C2E" w:rsidRDefault="00855C2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3633CCDE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C472D86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1AA5574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E9D3303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FBAB4D5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8B838CD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68001E" w14:textId="77777777" w:rsidR="00855C2E" w:rsidRDefault="00855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928B39C" w14:textId="773DF91A" w:rsidR="00855C2E" w:rsidRPr="004F5C87" w:rsidRDefault="00755160" w:rsidP="00A35E38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Москва, 2022 г.</w:t>
      </w:r>
    </w:p>
    <w:p w14:paraId="097F4DF4" w14:textId="5EEA0C2E" w:rsidR="00855C2E" w:rsidRPr="004F5C87" w:rsidRDefault="00755160">
      <w:pPr>
        <w:pStyle w:val="2"/>
        <w:pageBreakBefore/>
        <w:spacing w:before="0" w:after="0"/>
        <w:ind w:firstLine="709"/>
        <w:jc w:val="both"/>
        <w:rPr>
          <w:lang w:val="ru-RU"/>
        </w:rPr>
      </w:pPr>
      <w:r>
        <w:rPr>
          <w:b w:val="0"/>
          <w:lang w:val="ru-RU"/>
        </w:rPr>
        <w:lastRenderedPageBreak/>
        <w:t>Элективный курс «Альтернативное решение задач по стереометрии с использованием виртуальных лабораторий МЭШ» разработан в рамках реализации концепции профильного обучения на старшей ступени общего образования и соответствует Государственному стандарту среднего образования по математике. При разработке данной программы учитывалось то, что элективный курс как компонент образования должен быть направлен на удовлетворение познавательных потребностей и интересов старшеклассников, на формирование у них новых видов познавательной и прак</w:t>
      </w:r>
      <w:r w:rsidR="004F5C87">
        <w:rPr>
          <w:b w:val="0"/>
          <w:lang w:val="ru-RU"/>
        </w:rPr>
        <w:t xml:space="preserve">тической деятельности, которые </w:t>
      </w:r>
      <w:r>
        <w:rPr>
          <w:b w:val="0"/>
          <w:lang w:val="ru-RU"/>
        </w:rPr>
        <w:t>не характерны для традиционных учебных курсов.</w:t>
      </w:r>
    </w:p>
    <w:p w14:paraId="73DE3ACA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825D95" w14:textId="77777777" w:rsidR="00855C2E" w:rsidRPr="004F5C87" w:rsidRDefault="00755160">
      <w:pPr>
        <w:pStyle w:val="2"/>
        <w:spacing w:before="0" w:after="0"/>
        <w:ind w:firstLine="709"/>
        <w:rPr>
          <w:lang w:val="ru-RU"/>
        </w:rPr>
      </w:pPr>
      <w:r>
        <w:rPr>
          <w:lang w:val="ru-RU" w:eastAsia="ru-RU"/>
        </w:rPr>
        <w:t>Цели и задачи практики</w:t>
      </w:r>
    </w:p>
    <w:p w14:paraId="374CDCE5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AC306C6" w14:textId="7EF695DC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Основная цель: формирование знаний основ аналитической геометрии, умений ими оперировать и применять</w:t>
      </w:r>
      <w:r w:rsidR="00F646B4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при решении различных задач.</w:t>
      </w:r>
    </w:p>
    <w:p w14:paraId="46E79BA4" w14:textId="77777777" w:rsidR="00855C2E" w:rsidRDefault="0075516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Задачи:</w:t>
      </w:r>
    </w:p>
    <w:p w14:paraId="3E4AC7E2" w14:textId="77777777" w:rsidR="00855C2E" w:rsidRPr="004F5C87" w:rsidRDefault="007551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достижение выпускниками школы нового, более высокого качества образовательной и профильной подготовки;</w:t>
      </w:r>
    </w:p>
    <w:p w14:paraId="55E2F2C1" w14:textId="77777777" w:rsidR="00855C2E" w:rsidRPr="004F5C87" w:rsidRDefault="007551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формирование умений применять координатный и векторный методы к решению задач на нахождение длин отрезков и углов между прямыми и векторами в пространстве;</w:t>
      </w:r>
    </w:p>
    <w:p w14:paraId="7E87C527" w14:textId="208DE972" w:rsidR="00855C2E" w:rsidRPr="004F5C87" w:rsidRDefault="007551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формирование умений решать зад</w:t>
      </w:r>
      <w:r w:rsidRPr="0050709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ачи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для поступающих в вузы, где математика является одним из профилирующих предметов;</w:t>
      </w:r>
    </w:p>
    <w:p w14:paraId="39A370B7" w14:textId="77777777" w:rsidR="00855C2E" w:rsidRPr="004F5C87" w:rsidRDefault="007551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формирование представлений о математике как части общечеловеческой культуры, понимание значимости математики для научного прогресса;</w:t>
      </w:r>
    </w:p>
    <w:p w14:paraId="4E27E696" w14:textId="77777777" w:rsidR="00855C2E" w:rsidRPr="004F5C87" w:rsidRDefault="0075516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развитие логического мышления, обогащение и расширение математического кругозора учащихся;</w:t>
      </w:r>
    </w:p>
    <w:p w14:paraId="6BC5D49E" w14:textId="77777777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ориентация на профессии, существенным образом связанные с математикой и естественными науками.</w:t>
      </w:r>
    </w:p>
    <w:p w14:paraId="1F7AA038" w14:textId="77777777" w:rsidR="00855C2E" w:rsidRDefault="0085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6150B2" w14:textId="6CA800DC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Элективный курс имеет практико-ориентированную направленность. Формы занятий разнообразны: семинары, практикумы, уроки-консультации, выступления учащихся с докладами по выполнению индивидуальных заданий, составление презентаций по одной или группе задач. Отработка и закрепление основных умений и навыков осуществляется при выполнении практических заданий, тестов ЕГЭ прошлых лет. Работа над проектами дает возможность ученикам совершать пусть небольшие, но</w:t>
      </w:r>
      <w:r w:rsidRPr="00D635D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собственные</w:t>
      </w:r>
      <w:r w:rsidR="00281707" w:rsidRPr="00D635D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F5C87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открытия и окрыляет их для </w:t>
      </w:r>
      <w:r w:rsidRPr="00D635D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новых 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обед. В рамках данного курса предполагается углубленное изучение вопросов, предусмотренных программой основного курса. Углубление реализуется на базе изучения некоторых тем, учитывающих перспективы создания новых стандартов школьного математического образования в профильной школе.</w:t>
      </w:r>
    </w:p>
    <w:p w14:paraId="36619A07" w14:textId="25A4F390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Для получения эффективных результатов обучения имеет смысл использовать на занятиях виртуальные лаборатории МЭШ, которые помогут как в визуализац</w:t>
      </w:r>
      <w:r w:rsidR="004F5C87">
        <w:rPr>
          <w:rFonts w:ascii="Times New Roman" w:hAnsi="Times New Roman" w:cs="Times New Roman"/>
          <w:sz w:val="28"/>
          <w:szCs w:val="28"/>
          <w:lang w:val="ru-RU" w:eastAsia="ru-RU"/>
        </w:rPr>
        <w:t>ии результатов работы с данными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так и при решении задач. Это позволит учащимся на практике использовать компьютер при оперировании пространственными объектами. Целью применения виртуальных лабораторий в учебном процессе главным образом является развитие качеств личности: логическое мышление, пространственное воображение, точность мысли, алгоритмическая культура, интуиция, критичность.</w:t>
      </w:r>
    </w:p>
    <w:p w14:paraId="595EBE75" w14:textId="77777777" w:rsidR="00855C2E" w:rsidRDefault="00855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2BD6606" w14:textId="77777777" w:rsidR="00855C2E" w:rsidRPr="004F5C87" w:rsidRDefault="00755160">
      <w:pPr>
        <w:pStyle w:val="2"/>
        <w:spacing w:before="0" w:after="0"/>
        <w:rPr>
          <w:lang w:val="ru-RU"/>
        </w:rPr>
      </w:pPr>
      <w:r>
        <w:rPr>
          <w:lang w:val="ru-RU" w:eastAsia="ru-RU"/>
        </w:rPr>
        <w:t>Этапы реализации</w:t>
      </w:r>
    </w:p>
    <w:p w14:paraId="56FFADA6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9B59F5C" w14:textId="05920375" w:rsidR="00855C2E" w:rsidRPr="004F5C87" w:rsidRDefault="00755160">
      <w:pPr>
        <w:spacing w:after="0" w:line="360" w:lineRule="auto"/>
        <w:ind w:firstLine="709"/>
        <w:jc w:val="both"/>
        <w:rPr>
          <w:color w:val="000000" w:themeColor="text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Центральным видом учебной деятельности, в процессе которой обучающиеся усваивают теоретический курс, развивают творческий подход и самостоятельность мышления, </w:t>
      </w:r>
      <w:r w:rsidRPr="00D635D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по-прежнему остаётся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решение задач. Бесспорным</w:t>
      </w:r>
      <w:r w:rsidRPr="00D635D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тот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факт,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что наибольшие трудности возникают при решении стереометрических задач, ибо, как правило, отсутствует единый алгор</w:t>
      </w: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итм их решения. Кроме базовых знаний по планиметрии и стереометрии, необходимо уметь рационально применять большое количество разнообразных приёмов поиска решения и соединять в процессе решения одной задачи различные математические методы. </w:t>
      </w:r>
    </w:p>
    <w:p w14:paraId="37AF4F09" w14:textId="77777777" w:rsidR="00855C2E" w:rsidRPr="004F5C87" w:rsidRDefault="00755160">
      <w:pPr>
        <w:spacing w:after="0" w:line="360" w:lineRule="auto"/>
        <w:ind w:firstLine="709"/>
        <w:jc w:val="both"/>
        <w:rPr>
          <w:color w:val="000000" w:themeColor="text1"/>
          <w:lang w:val="ru-RU"/>
        </w:rPr>
      </w:pP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Одним из таких методов, успешно применяемых, в частности, для алгоритмизации задач стереометрии, является координатно-векторный метод.</w:t>
      </w:r>
    </w:p>
    <w:p w14:paraId="5B77D21A" w14:textId="606D3900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Несколько веков назад</w:t>
      </w:r>
      <w:r w:rsidR="003C746F"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Евклид произнёс интересную фразу, обращённую к желавшему обучиться наукам египетскому царю Птолемею: «Царской дороги в геометрии нет!» Благодаря Рене Декарту через 1000 лет появилась возможность поспорить со знаменитым философом и отнести координатно-векторный метод к "царскому пути" в геометрии.</w:t>
      </w:r>
    </w:p>
    <w:p w14:paraId="1EC41460" w14:textId="196DDE2A" w:rsidR="00855C2E" w:rsidRDefault="00755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Это и определяет выбор траектории обучения и гарантирует достижения учащимися требований, проверяемых в ходе ЕГЭ. </w:t>
      </w:r>
    </w:p>
    <w:p w14:paraId="26F0BC90" w14:textId="6FF057A7" w:rsidR="000738F7" w:rsidRPr="000738F7" w:rsidRDefault="00073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738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 этап: проектирование </w:t>
      </w:r>
      <w:r w:rsidR="009C1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целей, содержания и результатов обучения </w:t>
      </w:r>
      <w:r w:rsidRPr="000738F7">
        <w:rPr>
          <w:rFonts w:ascii="Times New Roman" w:hAnsi="Times New Roman" w:cs="Times New Roman"/>
          <w:sz w:val="28"/>
          <w:szCs w:val="28"/>
          <w:lang w:val="ru-RU" w:eastAsia="ru-RU"/>
        </w:rPr>
        <w:t>на элективном курсе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634E740D" w14:textId="47EE1364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Следующим этапом является реализация программ дополнительного профессионального образования, направленных на формирование практических навыков работы с виртуальной лабораторией МЭШ. Для этого обучающимся необходимо научиться работать в ней. </w:t>
      </w:r>
      <w:r w:rsidR="000738F7" w:rsidRPr="000B0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Работая с построенной компьютерной моделью, учащиеся, изменяя положение вершин </w:t>
      </w:r>
      <w:r w:rsidR="000B08DA" w:rsidRPr="000B0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многогранников, выполняют «удобные» </w:t>
      </w:r>
      <w:r w:rsidR="000738F7" w:rsidRPr="000B08DA">
        <w:rPr>
          <w:rFonts w:ascii="Times New Roman" w:hAnsi="Times New Roman" w:cs="Times New Roman"/>
          <w:sz w:val="28"/>
          <w:szCs w:val="28"/>
          <w:lang w:val="ru-RU" w:eastAsia="ru-RU"/>
        </w:rPr>
        <w:t>чертежи для решения задач</w:t>
      </w:r>
      <w:r w:rsidR="000B08DA" w:rsidRPr="000B0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Целью применения виртуальных лабораторий в учебном процессе главным образом является развитие качеств личности: логическое мышление, пространственное воображение, точность мысли, алгоритмическая культура, интуиция, критичность. Базовые знания и навыки в этой области необходимы, для того чтобы обучающийся смог сделать проект, связанный с решением задач методом координат, либо поучаствовать в профильной олимпиаде.</w:t>
      </w:r>
    </w:p>
    <w:p w14:paraId="53C6F402" w14:textId="33E6E0F5" w:rsidR="00855C2E" w:rsidRPr="004F5C87" w:rsidRDefault="00755160">
      <w:pPr>
        <w:spacing w:after="0" w:line="360" w:lineRule="auto"/>
        <w:ind w:firstLine="709"/>
        <w:jc w:val="both"/>
        <w:rPr>
          <w:color w:val="000000" w:themeColor="text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На третьем этапе происходит применение знаний и навыков, полученных во время обучения. Малая академия наук «Интеллект будущего», проект «Будущие Ломоносовы»,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проектов и исследований по направлению «Инженеры» (секция «Инновации умного города. Умная школа»),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открытая городская научно-практическая конференция «Инженеры будущего»,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Научная конференция «Дни на</w:t>
      </w: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уки НИТУ «МИСиС» по направлению «Нанотехнологии и наноматериалы», </w:t>
      </w: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олимпиада «МИСиС за</w:t>
      </w:r>
      <w:r w:rsidR="004F5C87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жигает звезды», ВсОШ – все эти </w:t>
      </w: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научные мероприятия позволяют старшекласснику закрепить на практике полученные знания и приобщиться к сообществу людей, изучающих и практикующих применение метода координат.</w:t>
      </w:r>
    </w:p>
    <w:p w14:paraId="128BD00A" w14:textId="77777777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 w:rsidRPr="004C0C1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результате реализации двух или трех этапов у обучающегося формируется необходимый блок знаний и навыков, связанных с применением данного метода при решении задач по стереометрии из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заданий ЕГЭ прошлых лет, а также при работе с исследовательскими проектами. Заключительный этап не имеет четких границ окончания, поскольку конференции проходят на ежегодной основе и, вовлекая обучающегося в эту деятельность, мы прививаем ему очень важный навык для решения практически значимых задач.</w:t>
      </w:r>
    </w:p>
    <w:p w14:paraId="18B8C4E9" w14:textId="77777777" w:rsidR="00855C2E" w:rsidRDefault="00855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366D7BE" w14:textId="77777777" w:rsidR="00855C2E" w:rsidRPr="004F5C87" w:rsidRDefault="00755160">
      <w:pPr>
        <w:pStyle w:val="2"/>
        <w:spacing w:before="0" w:after="0"/>
        <w:rPr>
          <w:lang w:val="ru-RU"/>
        </w:rPr>
      </w:pPr>
      <w:r>
        <w:rPr>
          <w:lang w:val="ru-RU" w:eastAsia="ru-RU"/>
        </w:rPr>
        <w:t>Методы и формы реализации практики:</w:t>
      </w:r>
    </w:p>
    <w:p w14:paraId="1B6F573D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9727004" w14:textId="77777777" w:rsidR="00855C2E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элективные и кружковые занятия;</w:t>
      </w:r>
    </w:p>
    <w:p w14:paraId="56400D69" w14:textId="77777777" w:rsidR="00855C2E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практическая работа:</w:t>
      </w:r>
    </w:p>
    <w:p w14:paraId="724F6BAE" w14:textId="77777777" w:rsidR="00855C2E" w:rsidRDefault="00755160">
      <w:pPr>
        <w:numPr>
          <w:ilvl w:val="2"/>
          <w:numId w:val="1"/>
        </w:numPr>
        <w:spacing w:after="0" w:line="360" w:lineRule="auto"/>
        <w:ind w:left="426" w:firstLine="708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мини-исследования;</w:t>
      </w:r>
    </w:p>
    <w:p w14:paraId="6BE2D9AF" w14:textId="77777777" w:rsidR="00855C2E" w:rsidRDefault="00755160">
      <w:pPr>
        <w:numPr>
          <w:ilvl w:val="2"/>
          <w:numId w:val="1"/>
        </w:numPr>
        <w:spacing w:after="0" w:line="360" w:lineRule="auto"/>
        <w:ind w:left="426" w:firstLine="708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виртуальные лаборатории МЭШ;</w:t>
      </w:r>
    </w:p>
    <w:p w14:paraId="78C608EE" w14:textId="77777777" w:rsidR="00855C2E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творческие задания;</w:t>
      </w:r>
    </w:p>
    <w:p w14:paraId="60518420" w14:textId="77777777" w:rsidR="00855C2E" w:rsidRPr="004F5C87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проектная деятельность (инженерные проекты для конкурса «Инженеры будущего»);</w:t>
      </w:r>
    </w:p>
    <w:p w14:paraId="3246AE98" w14:textId="77777777" w:rsidR="00855C2E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олимпиады и конкурсы.</w:t>
      </w:r>
    </w:p>
    <w:p w14:paraId="5CA4D76E" w14:textId="77777777" w:rsidR="00855C2E" w:rsidRDefault="0085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E98B7A" w14:textId="77777777" w:rsidR="00855C2E" w:rsidRDefault="00755160">
      <w:pPr>
        <w:pStyle w:val="2"/>
        <w:spacing w:before="0" w:after="0"/>
      </w:pPr>
      <w:r>
        <w:rPr>
          <w:lang w:val="ru-RU" w:eastAsia="ru-RU"/>
        </w:rPr>
        <w:t>Описание оборудования</w:t>
      </w:r>
    </w:p>
    <w:p w14:paraId="2C988C1B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343B7E7" w14:textId="77777777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Классное оборудование: интерактивная доска, виде</w:t>
      </w:r>
      <w:r>
        <w:rPr>
          <w:rFonts w:ascii="Times New Roman" w:hAnsi="Times New Roman" w:cs="Times New Roman"/>
          <w:color w:val="538135"/>
          <w:sz w:val="28"/>
          <w:szCs w:val="28"/>
          <w:lang w:val="ru-RU" w:eastAsia="ru-RU"/>
        </w:rPr>
        <w:t>ок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амера, микрофон, компьютер. </w:t>
      </w:r>
    </w:p>
    <w:p w14:paraId="07F31FCB" w14:textId="77777777" w:rsidR="00855C2E" w:rsidRDefault="00855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517606D" w14:textId="77777777" w:rsidR="00855C2E" w:rsidRPr="004F5C87" w:rsidRDefault="00755160">
      <w:pPr>
        <w:pStyle w:val="2"/>
        <w:spacing w:before="0" w:after="0"/>
        <w:rPr>
          <w:lang w:val="ru-RU"/>
        </w:rPr>
      </w:pPr>
      <w:r>
        <w:rPr>
          <w:lang w:val="ru-RU" w:eastAsia="ru-RU"/>
        </w:rPr>
        <w:t>Краткое описание проведенных исследований</w:t>
      </w:r>
    </w:p>
    <w:p w14:paraId="3CDAF97C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63229D9" w14:textId="2782AAB1" w:rsidR="00855C2E" w:rsidRDefault="00755160" w:rsidP="004F5C87">
      <w:pPr>
        <w:pStyle w:val="15"/>
        <w:spacing w:line="360" w:lineRule="auto"/>
        <w:ind w:left="-284" w:firstLine="426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C0C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Решив</w:t>
      </w:r>
      <w:r w:rsidRPr="00FE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 задач типа 13 из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подготовки к Единому Государственному Экзамену разными способами, пришли к выводу, что векторно-координатный метод является более рациональным. Вместе с ребятами сформулировали алгоритмы решения стереометрических задач данным методом. </w:t>
      </w:r>
    </w:p>
    <w:p w14:paraId="5D7C3D60" w14:textId="77777777" w:rsidR="00855C2E" w:rsidRDefault="0085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24B7A06" w14:textId="77777777" w:rsidR="00855C2E" w:rsidRPr="004F5C87" w:rsidRDefault="00755160">
      <w:pPr>
        <w:pStyle w:val="2"/>
        <w:spacing w:before="0" w:after="0"/>
        <w:rPr>
          <w:lang w:val="ru-RU"/>
        </w:rPr>
      </w:pPr>
      <w:r>
        <w:rPr>
          <w:lang w:val="ru-RU" w:eastAsia="ru-RU"/>
        </w:rPr>
        <w:t>Методические и оценочные материалы</w:t>
      </w:r>
    </w:p>
    <w:p w14:paraId="2494EC1B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0329CEF" w14:textId="77777777" w:rsidR="00855C2E" w:rsidRDefault="00755160">
      <w:pPr>
        <w:pStyle w:val="15"/>
        <w:spacing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Пример 1. </w:t>
      </w:r>
    </w:p>
    <w:p w14:paraId="30BB2E21" w14:textId="77777777" w:rsidR="00855C2E" w:rsidRDefault="00755160">
      <w:pPr>
        <w:pStyle w:val="15"/>
        <w:spacing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Решить задачу несколькими способами.</w:t>
      </w:r>
    </w:p>
    <w:p w14:paraId="17E56F66" w14:textId="77777777" w:rsidR="00855C2E" w:rsidRPr="004F5C87" w:rsidRDefault="00755160">
      <w:p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кубе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ABCDA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B</w:t>
      </w:r>
      <w:r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C</w:t>
      </w:r>
      <w:r>
        <w:rPr>
          <w:rFonts w:ascii="Times New Roman" w:eastAsia="TimesNewRomanPS-ItalicMT" w:hAnsi="Times New Roman" w:cs="Times New Roman"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найдите угол между прямыми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середина ребра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CC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EF61E3" w14:textId="39F18A80" w:rsidR="00855C2E" w:rsidRDefault="000B0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 чертеж к задаче в лаборатории МЭШ.</w:t>
      </w:r>
    </w:p>
    <w:p w14:paraId="158B2665" w14:textId="77777777" w:rsidR="00855C2E" w:rsidRDefault="00755160">
      <w:pPr>
        <w:pStyle w:val="15"/>
        <w:spacing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Пример 2.</w:t>
      </w:r>
    </w:p>
    <w:p w14:paraId="164CBDDF" w14:textId="77777777" w:rsidR="00855C2E" w:rsidRDefault="00755160">
      <w:pPr>
        <w:pStyle w:val="15"/>
        <w:spacing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Решить задачу несколькими способами.</w:t>
      </w:r>
    </w:p>
    <w:p w14:paraId="191CCAF0" w14:textId="1B45AF51" w:rsidR="00855C2E" w:rsidRPr="004F5C87" w:rsidRDefault="00755160">
      <w:p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Основание прямой четырехугольной призмы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ABCDA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B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C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прямоугольник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ABCD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АВ </w:t>
      </w:r>
      <w:r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12,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  <w:lang w:val="ru-RU"/>
        </w:rPr>
        <w:t xml:space="preserve">= </w:t>
      </w:r>
      <w:r>
        <w:fldChar w:fldCharType="begin"/>
      </w:r>
      <w:r>
        <w:instrText>QUOTE</w:instrText>
      </w:r>
      <w:r>
        <w:fldChar w:fldCharType="end"/>
      </w:r>
      <w:r w:rsidR="007052B0">
        <w:rPr>
          <w:noProof/>
          <w:lang w:val="ru-RU" w:eastAsia="ru-RU"/>
        </w:rPr>
        <w:drawing>
          <wp:inline distT="0" distB="0" distL="0" distR="0" wp14:anchorId="5393EF4F" wp14:editId="6D509751">
            <wp:extent cx="317500" cy="254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косинус угла между плоскостью основания призмы и плоскостью, проходящей через середину ребра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перпендикулярно прямой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BD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расстояние между прямыми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AC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B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>1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равно 5.</w:t>
      </w:r>
    </w:p>
    <w:p w14:paraId="00A21223" w14:textId="61EEAE0E" w:rsidR="00855C2E" w:rsidRDefault="000B0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Выполнить чертеж к задаче в лаборатории МЭШ.</w:t>
      </w:r>
    </w:p>
    <w:p w14:paraId="649E7DFD" w14:textId="77777777" w:rsidR="00855C2E" w:rsidRDefault="00755160">
      <w:pPr>
        <w:pStyle w:val="2"/>
        <w:spacing w:before="0" w:after="0"/>
      </w:pPr>
      <w:r>
        <w:rPr>
          <w:lang w:val="ru-RU" w:eastAsia="ru-RU"/>
        </w:rPr>
        <w:lastRenderedPageBreak/>
        <w:t>Полученные результаты</w:t>
      </w:r>
    </w:p>
    <w:p w14:paraId="2F54325F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C1D3530" w14:textId="77777777" w:rsidR="00855C2E" w:rsidRPr="004F5C87" w:rsidRDefault="0075516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Учащиеся с большим интересом изучают материалы школьного курса геометрии.</w:t>
      </w:r>
    </w:p>
    <w:p w14:paraId="178E41A4" w14:textId="77777777" w:rsidR="00855C2E" w:rsidRPr="004F5C87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виртуальных лабораториях реализованы современные методы объектного конструирования, опирающиеся на интуитивно ясные и геометрически точные принципы, продолженные в область динамических конструкций, что обеспечивает ей исключительную гибкость, управляемость и прозрачность.</w:t>
      </w:r>
    </w:p>
    <w:p w14:paraId="4778E3D4" w14:textId="77777777" w:rsidR="00855C2E" w:rsidRPr="004F5C87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Использование электронных приложений позволяет развивать пространственное мышление школьников, а также создавать для школьников более увлекательные и интересные уроки.</w:t>
      </w:r>
    </w:p>
    <w:p w14:paraId="03C91F26" w14:textId="77777777" w:rsidR="00855C2E" w:rsidRPr="004F5C87" w:rsidRDefault="0075516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Продолжаем общение между школой и вузом в других мероприятиях: олимпиады, виртуальные занятия, проектная деятельность</w:t>
      </w:r>
    </w:p>
    <w:p w14:paraId="55BCB431" w14:textId="77777777" w:rsidR="00855C2E" w:rsidRDefault="0085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59AF44" w14:textId="77777777" w:rsidR="00855C2E" w:rsidRPr="004F5C87" w:rsidRDefault="00755160">
      <w:pPr>
        <w:pStyle w:val="2"/>
        <w:spacing w:before="0" w:after="0"/>
        <w:rPr>
          <w:lang w:val="ru-RU"/>
        </w:rPr>
      </w:pPr>
      <w:r>
        <w:rPr>
          <w:lang w:val="ru-RU" w:eastAsia="ru-RU"/>
        </w:rPr>
        <w:t>Практическое значение</w:t>
      </w:r>
    </w:p>
    <w:p w14:paraId="62A59A05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6129540" w14:textId="77777777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Полученный опыт в реальной ситуации способствует:</w:t>
      </w:r>
    </w:p>
    <w:p w14:paraId="11F46D27" w14:textId="77777777" w:rsidR="00855C2E" w:rsidRPr="004F5C87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упрощению и сокращению процесса решения стереометрических</w:t>
      </w:r>
    </w:p>
    <w:p w14:paraId="690C2DC8" w14:textId="77777777" w:rsidR="00855C2E" w:rsidRDefault="00755160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задач;</w:t>
      </w:r>
    </w:p>
    <w:p w14:paraId="13454FD7" w14:textId="77777777" w:rsidR="00855C2E" w:rsidRPr="004F5C87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визуализации хода решения задачи и алгоритма выполнения;</w:t>
      </w:r>
    </w:p>
    <w:p w14:paraId="65149A15" w14:textId="77777777" w:rsidR="00855C2E" w:rsidRPr="004F5C87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наблюдению динамики решения задачи с помощью экранных</w:t>
      </w:r>
    </w:p>
    <w:p w14:paraId="6268138F" w14:textId="77777777" w:rsidR="00855C2E" w:rsidRDefault="00755160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объектов;</w:t>
      </w:r>
    </w:p>
    <w:p w14:paraId="4DC33F6C" w14:textId="77777777" w:rsidR="00855C2E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раскрытию творческого потенциала;</w:t>
      </w:r>
    </w:p>
    <w:p w14:paraId="5664F058" w14:textId="77777777" w:rsidR="00855C2E" w:rsidRPr="004F5C87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развитию навыков работы в команде;</w:t>
      </w:r>
    </w:p>
    <w:p w14:paraId="79653F33" w14:textId="77777777" w:rsidR="00855C2E" w:rsidRDefault="00755160">
      <w:pPr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развитию навыков критического мышления.</w:t>
      </w:r>
    </w:p>
    <w:p w14:paraId="3C36828F" w14:textId="77777777" w:rsidR="00855C2E" w:rsidRDefault="00855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3B8BAF" w14:textId="77777777" w:rsidR="00855C2E" w:rsidRDefault="00755160">
      <w:pPr>
        <w:pStyle w:val="2"/>
        <w:spacing w:before="0" w:after="0"/>
        <w:ind w:firstLine="709"/>
      </w:pPr>
      <w:r>
        <w:rPr>
          <w:lang w:val="ru-RU" w:eastAsia="ru-RU"/>
        </w:rPr>
        <w:lastRenderedPageBreak/>
        <w:t>Перспективы дальнейшего развития</w:t>
      </w:r>
    </w:p>
    <w:p w14:paraId="116A62FD" w14:textId="77777777" w:rsidR="00855C2E" w:rsidRDefault="00855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964300B" w14:textId="03B0CC39" w:rsidR="00855C2E" w:rsidRPr="004F5C87" w:rsidRDefault="00755160">
      <w:pPr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Полученный опыт позволяет с успехом вы</w:t>
      </w:r>
      <w:r w:rsidR="000B0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полнить задачи по стереометрии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 ЕГЭ!</w:t>
      </w:r>
    </w:p>
    <w:sectPr w:rsidR="00855C2E" w:rsidRPr="004F5C87">
      <w:pgSz w:w="12240" w:h="15840"/>
      <w:pgMar w:top="1134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-ItalicMT">
    <w:charset w:val="00"/>
    <w:family w:val="auto"/>
    <w:pitch w:val="variable"/>
  </w:font>
  <w:font w:name="Symbol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4"/>
    <w:lvl w:ilvl="0">
      <w:numFmt w:val="bullet"/>
      <w:lvlText w:val="•"/>
      <w:lvlJc w:val="left"/>
      <w:pPr>
        <w:tabs>
          <w:tab w:val="num" w:pos="0"/>
        </w:tabs>
        <w:ind w:left="2148" w:hanging="73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0"/>
    <w:rsid w:val="000738F7"/>
    <w:rsid w:val="00085803"/>
    <w:rsid w:val="000B08DA"/>
    <w:rsid w:val="001828CF"/>
    <w:rsid w:val="00187508"/>
    <w:rsid w:val="00281707"/>
    <w:rsid w:val="003C746F"/>
    <w:rsid w:val="004C0C1D"/>
    <w:rsid w:val="004F5C87"/>
    <w:rsid w:val="0050709B"/>
    <w:rsid w:val="005470AB"/>
    <w:rsid w:val="006C41B6"/>
    <w:rsid w:val="007052B0"/>
    <w:rsid w:val="00726A1C"/>
    <w:rsid w:val="00735C53"/>
    <w:rsid w:val="00755160"/>
    <w:rsid w:val="00773306"/>
    <w:rsid w:val="00855C2E"/>
    <w:rsid w:val="009C12C1"/>
    <w:rsid w:val="009E2A90"/>
    <w:rsid w:val="00A35E38"/>
    <w:rsid w:val="00AF0093"/>
    <w:rsid w:val="00BF7D21"/>
    <w:rsid w:val="00CE78AA"/>
    <w:rsid w:val="00D635DD"/>
    <w:rsid w:val="00D97554"/>
    <w:rsid w:val="00E85243"/>
    <w:rsid w:val="00EB3968"/>
    <w:rsid w:val="00F62DC7"/>
    <w:rsid w:val="00F646B4"/>
    <w:rsid w:val="00FE3C8A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58B378"/>
  <w15:chartTrackingRefBased/>
  <w15:docId w15:val="{5CC02DA2-18F5-3A48-B950-8F7C8BE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hAnsi="Calibri" w:cs="Calibri"/>
      <w:kern w:val="2"/>
      <w:sz w:val="22"/>
      <w:szCs w:val="22"/>
      <w:lang w:val="en-US"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2">
    <w:name w:val="heading 2"/>
    <w:basedOn w:val="a"/>
    <w:qFormat/>
    <w:pPr>
      <w:keepNext/>
      <w:spacing w:before="60" w:after="60" w:line="360" w:lineRule="auto"/>
      <w:jc w:val="center"/>
      <w:outlineLvl w:val="1"/>
    </w:pPr>
    <w:rPr>
      <w:rFonts w:ascii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20">
    <w:name w:val="Заголовок 2 Знак"/>
    <w:basedOn w:val="10"/>
    <w:rPr>
      <w:rFonts w:ascii="Times New Roman" w:eastAsia="Times New Roman" w:hAnsi="Times New Roman" w:cs="Times New Roman"/>
      <w:b/>
      <w:bCs/>
      <w:iCs/>
      <w:sz w:val="28"/>
      <w:szCs w:val="28"/>
      <w:lang w:val="en-US" w:eastAsia="en-US"/>
    </w:rPr>
  </w:style>
  <w:style w:type="character" w:customStyle="1" w:styleId="a3">
    <w:name w:val="Текст выноски Знак"/>
    <w:basedOn w:val="10"/>
    <w:rPr>
      <w:rFonts w:ascii="Segoe UI" w:hAnsi="Segoe UI" w:cs="Segoe UI"/>
      <w:sz w:val="18"/>
      <w:szCs w:val="18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ocumentMap">
    <w:name w:val="DocumentMap"/>
    <w:pPr>
      <w:suppressAutoHyphens/>
      <w:spacing w:after="160" w:line="256" w:lineRule="auto"/>
    </w:pPr>
    <w:rPr>
      <w:rFonts w:ascii="Calibri" w:hAnsi="Calibri" w:cs="Calibri"/>
      <w:kern w:val="2"/>
      <w:sz w:val="22"/>
      <w:szCs w:val="22"/>
    </w:rPr>
  </w:style>
  <w:style w:type="paragraph" w:customStyle="1" w:styleId="12">
    <w:name w:val="Обычный (веб)1"/>
    <w:basedOn w:val="a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Sedelnikov</dc:creator>
  <cp:keywords/>
  <cp:lastModifiedBy>167</cp:lastModifiedBy>
  <cp:revision>14</cp:revision>
  <cp:lastPrinted>2022-12-29T06:39:00Z</cp:lastPrinted>
  <dcterms:created xsi:type="dcterms:W3CDTF">2023-01-01T10:45:00Z</dcterms:created>
  <dcterms:modified xsi:type="dcterms:W3CDTF">2023-01-08T10:18:00Z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Operator">
    <vt:lpwstr>Учитель</vt:lpwstr>
  </property>
</Properties>
</file>